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Verdana" w:hAnsi="Verdana"/>
          <w:b/>
          <w:i w:val="0"/>
          <w:sz w:val="40"/>
          <w:rFonts w:ascii="Verdana" w:hAnsi="Verdana" w:cs="Verdana" w:eastAsia="Verdana"/>
        </w:rPr>
        <w:t>Jordan Rivera</w:t>
      </w:r>
    </w:p>
    <w:p>
      <w:pPr>
        <w:spacing w:after="40"/>
        <w:jc w:val="center"/>
      </w:pPr>
      <w:r>
        <w:rPr>
          <w:rFonts w:ascii="Verdana" w:hAnsi="Verdana"/>
          <w:b w:val="0"/>
          <w:i/>
          <w:sz w:val="16"/>
          <w:rFonts w:ascii="Verdana" w:hAnsi="Verdana" w:cs="Verdana" w:eastAsia="Verdana"/>
        </w:rPr>
        <w:t>Senior product manager with 9+ years scaling SaaS and consumer platforms from zero to EUR 25M+ ARR across global markets through rigorous experimentation and team leadership.</w:t>
      </w:r>
    </w:p>
    <w:p>
      <w:pPr>
        <w:spacing w:after="80"/>
        <w:jc w:val="center"/>
      </w:pPr>
      <w:r>
        <w:rPr>
          <w:rFonts w:ascii="Verdana" w:hAnsi="Verdana"/>
          <w:b w:val="0"/>
          <w:i w:val="0"/>
          <w:sz w:val="15"/>
          <w:rFonts w:ascii="Verdana" w:hAnsi="Verdana" w:cs="Verdana" w:eastAsia="Verdana"/>
        </w:rPr>
        <w:t>LinkedIn | jordan.rivera@example.com | +44 20 1234 5678 | London, UK</w:t>
      </w:r>
    </w:p>
    <w:p>
      <w:pPr>
        <w:keepNext/>
        <w:spacing w:before="120" w:after="60"/>
        <w:pBdr>
          <w:bottom w:val="single" w:sz="6" w:space="1" w:color="000000"/>
        </w:pBdr>
      </w:pPr>
      <w:r>
        <w:rPr>
          <w:rFonts w:ascii="Verdana" w:hAnsi="Verdana"/>
          <w:b/>
          <w:i w:val="0"/>
          <w:sz w:val="18"/>
          <w:rFonts w:ascii="Verdana" w:hAnsi="Verdana" w:cs="Verdana" w:eastAsia="Verdana"/>
        </w:rPr>
        <w:t>EXPERIENCE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NORTHWIND SOFTWARE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London, UK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Senior Product Manager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2021 – Present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Platform growth: 40% YoY revenue lift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Delivered 40 percent year-over-year ARR growth by leading a cross-functional team of 25 engineers, designers, researchers, and data scientists through four major product launches across two fiscal years and three regions.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Captured EUR 12M in net-new enterprise ARR by designing a tiered pricing architecture, repackaging the contract terms, and executing a targeted expansion playbook across 18 European markets during the FY23 fiscal year.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Experimentation platform: 120+ A/B tests run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Built a data-driven experimentation platform that ran 120 plus A/B tests in 2023, lifting conversion rates 18 percent, cutting feature rollout risk, and shortening the test cycle for every product team in the organisation.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Reduced activation time from 14 to 3 days by launching a self-service onboarding flow with in-product guides and email nudges that drove a 35 percent lift in 30 day retention across all new B2B customers in EMEA and APAC.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Team and org: hired 8 PMs, founded Product Chapter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Hired and onboarded 8 product managers in 18 months, formalising interview rubrics, scorecards, and ramp plans that became the standard template for every GTM function hire across the London, Paris, and Berlin offices.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Founded the internal Product Chapter, a weekly forum of 40 plus PMs and engineers that standardised discovery, roadmap, and launch playbooks across six business units and cut average time-to-launch 27 percent year over year.</w:t>
      </w:r>
    </w:p>
    <w:p>
      <w:pPr>
        <w:spacing w:before="40" w:after="0"/>
      </w:pP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CONTOSO LTD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London, UK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Product Manager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2018 – 2021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Mobile launch: 500k downloads in Q1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Launched a consumer mobile application that reached 500,000 downloads in the first quarter by running weekly growth experiments, partnering with influencers, and aligning marketing, engineering, and design on a unified roadmap.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Drove mobile DAU from 80,000 to 280,000 in nine months by optimising the push notification strategy, rewriting the cold-start logic, and redesigning the core feed ranking algorithm with the recommendations engineering pod.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Monetisation: GBP 4.2M subscription revenue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Generated GBP 4.2M in year-one subscription revenue by designing a freemium paywall, running 30 pricing experiments, and shipping a quarterly promotion calendar in partnership with the lifecycle marketing and CRM teams.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Cut monthly churn from 6.8 to 3.1 percent in six months by launching win-back email campaigns, cancellation surveys, and a tiered save-offer flow that recovered 22 percent of paying users at the point of unsubscribe.</w:t>
      </w:r>
    </w:p>
    <w:p>
      <w:pPr>
        <w:spacing w:before="40" w:after="0"/>
      </w:pP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FABRIKAM INC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London, UK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Associate PM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2016 – 2018</w:t>
      </w:r>
    </w:p>
    <w:p>
      <w:pPr>
        <w:keepNext/>
        <w:spacing w:before="40" w:after="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Onboarding redesign: 22% activation gain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Improved new-user activation rate from 48 to 70 percent by rebuilding the onboarding flow and welcome tour after a six-week qualitative research project with 40 target customers across three core market segments.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Shipped a contextual in-product help centre and chatbot that cut inbound support tickets 34 percent and saved an estimated 900 agent hours per quarter while lifting CSAT from 4.1 to 4.6 out of 5 across all global regions.</w:t>
      </w:r>
    </w:p>
    <w:p>
      <w:pPr>
        <w:keepNext/>
        <w:spacing w:before="120" w:after="60"/>
        <w:pBdr>
          <w:bottom w:val="single" w:sz="6" w:space="1" w:color="000000"/>
        </w:pBdr>
      </w:pPr>
      <w:r>
        <w:rPr>
          <w:rFonts w:ascii="Verdana" w:hAnsi="Verdana"/>
          <w:b/>
          <w:i w:val="0"/>
          <w:sz w:val="18"/>
          <w:rFonts w:ascii="Verdana" w:hAnsi="Verdana" w:cs="Verdana" w:eastAsia="Verdana"/>
        </w:rPr>
        <w:t>EDUCATION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INSEAD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Fontainebleau, FR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MBA in Strategy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2014 - 2016</w:t>
      </w:r>
    </w:p>
    <w:p>
      <w:pPr>
        <w:spacing w:before="0" w:after="0" w:line="264" w:lineRule="auto"/>
        <w:ind w:left="227" w:hanging="170"/>
      </w:pP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•  MBA in Strategy, Dean Honours List.</w:t>
      </w:r>
    </w:p>
    <w:p>
      <w:pPr>
        <w:spacing w:before="20" w:after="0"/>
      </w:pP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UNIVERSITY COLLEGE LONDON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London, UK</w:t>
      </w:r>
    </w:p>
    <w:p>
      <w:pPr>
        <w:tabs>
          <w:tab w:pos="10091" w:val="right"/>
        </w:tabs>
        <w:spacing w:before="0" w:after="0" w:line="264" w:lineRule="auto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BSc in Computer Science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ab/>
      </w: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>2010 - 2013</w:t>
      </w:r>
    </w:p>
    <w:p>
      <w:pPr>
        <w:keepNext/>
        <w:spacing w:before="120" w:after="60"/>
        <w:pBdr>
          <w:bottom w:val="single" w:sz="6" w:space="1" w:color="000000"/>
        </w:pBdr>
      </w:pPr>
      <w:r>
        <w:rPr>
          <w:rFonts w:ascii="Verdana" w:hAnsi="Verdana"/>
          <w:b/>
          <w:i w:val="0"/>
          <w:sz w:val="18"/>
          <w:rFonts w:ascii="Verdana" w:hAnsi="Verdana" w:cs="Verdana" w:eastAsia="Verdana"/>
        </w:rPr>
        <w:t>ADDITIONAL INFORMATION</w:t>
      </w:r>
    </w:p>
    <w:p>
      <w:pPr>
        <w:spacing w:before="0" w:after="2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 xml:space="preserve">Languages: 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English | French</w:t>
      </w:r>
    </w:p>
    <w:p>
      <w:pPr>
        <w:spacing w:before="0" w:after="20"/>
      </w:pPr>
      <w:r>
        <w:rPr>
          <w:rFonts w:ascii="Verdana" w:hAnsi="Verdana"/>
          <w:b/>
          <w:i w:val="0"/>
          <w:sz w:val="16"/>
          <w:rFonts w:ascii="Verdana" w:hAnsi="Verdana" w:cs="Verdana" w:eastAsia="Verdana"/>
        </w:rPr>
        <w:t xml:space="preserve">Core Competencies: </w:t>
      </w:r>
      <w:r>
        <w:rPr>
          <w:rFonts w:ascii="Verdana" w:hAnsi="Verdana"/>
          <w:b w:val="0"/>
          <w:i w:val="0"/>
          <w:sz w:val="16"/>
          <w:rFonts w:ascii="Verdana" w:hAnsi="Verdana" w:cs="Verdana" w:eastAsia="Verdana"/>
        </w:rPr>
        <w:t>Product Strategy | Team Leadership | Go-to-Market | Experimentation | User Research | Data Analytics | Roadmap Planning | Stakeholder Alignment | Growth</w:t>
      </w:r>
    </w:p>
    <w:sectPr w:rsidR="00FC693F" w:rsidRPr="0006063C" w:rsidSect="00034616">
      <w:pgSz w:w="11906" w:h="16838"/>
      <w:pgMar w:top="567" w:right="907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 w:cs="Verdana" w:eastAsia="Verdana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